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4E" w:rsidRDefault="00822D4E" w:rsidP="00601738">
      <w:pPr>
        <w:jc w:val="center"/>
        <w:rPr>
          <w:b/>
          <w:bCs/>
        </w:rPr>
      </w:pPr>
      <w:r w:rsidRPr="00822D4E">
        <w:rPr>
          <w:b/>
          <w:bCs/>
        </w:rPr>
        <w:t xml:space="preserve">RST Destitution </w:t>
      </w:r>
      <w:r w:rsidR="009B004A">
        <w:rPr>
          <w:b/>
          <w:bCs/>
        </w:rPr>
        <w:t>G</w:t>
      </w:r>
      <w:r w:rsidRPr="00822D4E">
        <w:rPr>
          <w:b/>
          <w:bCs/>
        </w:rPr>
        <w:t>rants</w:t>
      </w:r>
      <w:r w:rsidR="009B004A">
        <w:rPr>
          <w:b/>
          <w:bCs/>
        </w:rPr>
        <w:br/>
      </w:r>
      <w:r w:rsidR="00601738">
        <w:rPr>
          <w:b/>
          <w:bCs/>
        </w:rPr>
        <w:t>April – December 2017 (Q1 – Q3 2017-18)</w:t>
      </w:r>
    </w:p>
    <w:p w:rsidR="00822D4E" w:rsidRDefault="00F2548D" w:rsidP="00601738">
      <w:pPr>
        <w:jc w:val="both"/>
        <w:rPr>
          <w:noProof/>
          <w:lang w:eastAsia="en-GB"/>
        </w:rPr>
      </w:pPr>
      <w:r>
        <w:rPr>
          <w:noProof/>
          <w:lang w:eastAsia="en-GB"/>
        </w:rPr>
        <w:drawing>
          <wp:anchor distT="0" distB="0" distL="114300" distR="114300" simplePos="0" relativeHeight="251660288" behindDoc="1" locked="0" layoutInCell="1" allowOverlap="1" wp14:anchorId="7F857116" wp14:editId="3D506555">
            <wp:simplePos x="0" y="0"/>
            <wp:positionH relativeFrom="column">
              <wp:posOffset>2249805</wp:posOffset>
            </wp:positionH>
            <wp:positionV relativeFrom="paragraph">
              <wp:posOffset>175895</wp:posOffset>
            </wp:positionV>
            <wp:extent cx="3416300" cy="3104515"/>
            <wp:effectExtent l="0" t="0" r="12700" b="19685"/>
            <wp:wrapTight wrapText="bothSides">
              <wp:wrapPolygon edited="0">
                <wp:start x="0" y="0"/>
                <wp:lineTo x="0" y="21604"/>
                <wp:lineTo x="21560" y="21604"/>
                <wp:lineTo x="2156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822D4E">
        <w:rPr>
          <w:b/>
          <w:bCs/>
        </w:rPr>
        <w:t>Overview</w:t>
      </w:r>
      <w:r w:rsidR="004B4B2F">
        <w:rPr>
          <w:b/>
          <w:bCs/>
        </w:rPr>
        <w:br/>
      </w:r>
      <w:r w:rsidR="00601738">
        <w:rPr>
          <w:noProof/>
          <w:lang w:eastAsia="en-GB"/>
        </w:rPr>
        <w:t>October to December 2017 saw the Refugee Survival Trust distribute a record-breaking number of destitution grants – we awarded 428 grants, to a total of £37,889.57 during this period. This is significantly more in one quarter than we distributed in the whole of 2014-15.</w:t>
      </w:r>
    </w:p>
    <w:p w:rsidR="00E2164F" w:rsidRPr="00E2164F" w:rsidRDefault="00E2164F" w:rsidP="00E2164F">
      <w:pPr>
        <w:spacing w:after="0"/>
        <w:jc w:val="both"/>
        <w:rPr>
          <w:b/>
          <w:bCs/>
        </w:rPr>
      </w:pPr>
      <w:r>
        <w:rPr>
          <w:b/>
          <w:bCs/>
        </w:rPr>
        <w:t>Total number of grants distributed</w:t>
      </w:r>
    </w:p>
    <w:tbl>
      <w:tblPr>
        <w:tblW w:w="3465" w:type="dxa"/>
        <w:tblInd w:w="93" w:type="dxa"/>
        <w:tblLook w:val="04A0" w:firstRow="1" w:lastRow="0" w:firstColumn="1" w:lastColumn="0" w:noHBand="0" w:noVBand="1"/>
      </w:tblPr>
      <w:tblGrid>
        <w:gridCol w:w="582"/>
        <w:gridCol w:w="683"/>
        <w:gridCol w:w="683"/>
        <w:gridCol w:w="808"/>
        <w:gridCol w:w="709"/>
      </w:tblGrid>
      <w:tr w:rsidR="00601738" w:rsidRPr="00601738" w:rsidTr="00601738">
        <w:trPr>
          <w:trHeight w:val="300"/>
        </w:trPr>
        <w:tc>
          <w:tcPr>
            <w:tcW w:w="582" w:type="dxa"/>
            <w:tcBorders>
              <w:top w:val="nil"/>
              <w:left w:val="nil"/>
              <w:bottom w:val="nil"/>
              <w:right w:val="nil"/>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color w:val="000000"/>
                <w:sz w:val="20"/>
                <w:szCs w:val="20"/>
                <w:lang w:eastAsia="en-GB"/>
              </w:rPr>
            </w:pP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14-15</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15-16</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16-17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17-18</w:t>
            </w:r>
          </w:p>
        </w:tc>
      </w:tr>
      <w:tr w:rsidR="00601738" w:rsidRPr="00601738" w:rsidTr="00601738">
        <w:trPr>
          <w:trHeight w:val="30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Q1</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59</w:t>
            </w:r>
          </w:p>
        </w:tc>
        <w:tc>
          <w:tcPr>
            <w:tcW w:w="683"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128</w:t>
            </w:r>
          </w:p>
        </w:tc>
        <w:tc>
          <w:tcPr>
            <w:tcW w:w="808"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212</w:t>
            </w:r>
          </w:p>
        </w:tc>
        <w:tc>
          <w:tcPr>
            <w:tcW w:w="709"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229</w:t>
            </w:r>
          </w:p>
        </w:tc>
      </w:tr>
      <w:tr w:rsidR="00601738" w:rsidRPr="00601738" w:rsidTr="00601738">
        <w:trPr>
          <w:trHeight w:val="300"/>
        </w:trPr>
        <w:tc>
          <w:tcPr>
            <w:tcW w:w="582" w:type="dxa"/>
            <w:tcBorders>
              <w:top w:val="nil"/>
              <w:left w:val="single" w:sz="4" w:space="0" w:color="auto"/>
              <w:bottom w:val="single" w:sz="4" w:space="0" w:color="auto"/>
              <w:right w:val="nil"/>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Q2</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58</w:t>
            </w:r>
          </w:p>
        </w:tc>
        <w:tc>
          <w:tcPr>
            <w:tcW w:w="683"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242</w:t>
            </w:r>
          </w:p>
        </w:tc>
        <w:tc>
          <w:tcPr>
            <w:tcW w:w="808"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198</w:t>
            </w:r>
          </w:p>
        </w:tc>
        <w:tc>
          <w:tcPr>
            <w:tcW w:w="709"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298</w:t>
            </w:r>
          </w:p>
        </w:tc>
      </w:tr>
      <w:tr w:rsidR="00601738" w:rsidRPr="00601738" w:rsidTr="00601738">
        <w:trPr>
          <w:trHeight w:val="300"/>
        </w:trPr>
        <w:tc>
          <w:tcPr>
            <w:tcW w:w="582" w:type="dxa"/>
            <w:tcBorders>
              <w:top w:val="nil"/>
              <w:left w:val="single" w:sz="4" w:space="0" w:color="auto"/>
              <w:bottom w:val="single" w:sz="4" w:space="0" w:color="auto"/>
              <w:right w:val="nil"/>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Q3</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102</w:t>
            </w:r>
          </w:p>
        </w:tc>
        <w:tc>
          <w:tcPr>
            <w:tcW w:w="683"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313</w:t>
            </w:r>
          </w:p>
        </w:tc>
        <w:tc>
          <w:tcPr>
            <w:tcW w:w="808"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209</w:t>
            </w:r>
          </w:p>
        </w:tc>
        <w:tc>
          <w:tcPr>
            <w:tcW w:w="709"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428</w:t>
            </w:r>
          </w:p>
        </w:tc>
      </w:tr>
      <w:tr w:rsidR="00601738" w:rsidRPr="00601738" w:rsidTr="00601738">
        <w:trPr>
          <w:trHeight w:val="300"/>
        </w:trPr>
        <w:tc>
          <w:tcPr>
            <w:tcW w:w="582" w:type="dxa"/>
            <w:tcBorders>
              <w:top w:val="nil"/>
              <w:left w:val="single" w:sz="4" w:space="0" w:color="auto"/>
              <w:bottom w:val="single" w:sz="4" w:space="0" w:color="auto"/>
              <w:right w:val="nil"/>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Q4</w:t>
            </w: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117</w:t>
            </w:r>
          </w:p>
        </w:tc>
        <w:tc>
          <w:tcPr>
            <w:tcW w:w="683"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194</w:t>
            </w:r>
          </w:p>
        </w:tc>
        <w:tc>
          <w:tcPr>
            <w:tcW w:w="808"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212</w:t>
            </w:r>
          </w:p>
        </w:tc>
        <w:tc>
          <w:tcPr>
            <w:tcW w:w="709"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color w:val="000000"/>
                <w:sz w:val="20"/>
                <w:szCs w:val="20"/>
                <w:lang w:eastAsia="en-GB"/>
              </w:rPr>
            </w:pPr>
            <w:r w:rsidRPr="00601738">
              <w:rPr>
                <w:rFonts w:ascii="Calibri" w:eastAsia="Times New Roman" w:hAnsi="Calibri" w:cs="Calibri"/>
                <w:color w:val="000000"/>
                <w:sz w:val="20"/>
                <w:szCs w:val="20"/>
                <w:lang w:eastAsia="en-GB"/>
              </w:rPr>
              <w:t>0</w:t>
            </w:r>
          </w:p>
        </w:tc>
      </w:tr>
      <w:tr w:rsidR="00601738" w:rsidRPr="00601738" w:rsidTr="00601738">
        <w:trPr>
          <w:trHeight w:val="300"/>
        </w:trPr>
        <w:tc>
          <w:tcPr>
            <w:tcW w:w="582" w:type="dxa"/>
            <w:tcBorders>
              <w:top w:val="nil"/>
              <w:left w:val="nil"/>
              <w:bottom w:val="nil"/>
              <w:right w:val="nil"/>
            </w:tcBorders>
            <w:shd w:val="clear" w:color="auto" w:fill="auto"/>
            <w:noWrap/>
            <w:vAlign w:val="bottom"/>
            <w:hideMark/>
          </w:tcPr>
          <w:p w:rsidR="00601738" w:rsidRPr="00601738" w:rsidRDefault="00601738" w:rsidP="00601738">
            <w:pPr>
              <w:spacing w:after="0" w:line="240" w:lineRule="auto"/>
              <w:rPr>
                <w:rFonts w:ascii="Calibri" w:eastAsia="Times New Roman" w:hAnsi="Calibri" w:cs="Calibri"/>
                <w:color w:val="000000"/>
                <w:sz w:val="20"/>
                <w:szCs w:val="20"/>
                <w:lang w:eastAsia="en-GB"/>
              </w:rPr>
            </w:pPr>
          </w:p>
        </w:tc>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336</w:t>
            </w:r>
          </w:p>
        </w:tc>
        <w:tc>
          <w:tcPr>
            <w:tcW w:w="683"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877</w:t>
            </w:r>
          </w:p>
        </w:tc>
        <w:tc>
          <w:tcPr>
            <w:tcW w:w="808"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831</w:t>
            </w:r>
          </w:p>
        </w:tc>
        <w:tc>
          <w:tcPr>
            <w:tcW w:w="709" w:type="dxa"/>
            <w:tcBorders>
              <w:top w:val="nil"/>
              <w:left w:val="nil"/>
              <w:bottom w:val="single" w:sz="4" w:space="0" w:color="auto"/>
              <w:right w:val="single" w:sz="4" w:space="0" w:color="auto"/>
            </w:tcBorders>
            <w:shd w:val="clear" w:color="auto" w:fill="auto"/>
            <w:noWrap/>
            <w:vAlign w:val="bottom"/>
            <w:hideMark/>
          </w:tcPr>
          <w:p w:rsidR="00601738" w:rsidRPr="00601738" w:rsidRDefault="00601738" w:rsidP="00601738">
            <w:pPr>
              <w:spacing w:after="0" w:line="240" w:lineRule="auto"/>
              <w:jc w:val="right"/>
              <w:rPr>
                <w:rFonts w:ascii="Calibri" w:eastAsia="Times New Roman" w:hAnsi="Calibri" w:cs="Calibri"/>
                <w:b/>
                <w:bCs/>
                <w:color w:val="000000"/>
                <w:sz w:val="20"/>
                <w:szCs w:val="20"/>
                <w:lang w:eastAsia="en-GB"/>
              </w:rPr>
            </w:pPr>
            <w:r w:rsidRPr="00601738">
              <w:rPr>
                <w:rFonts w:ascii="Calibri" w:eastAsia="Times New Roman" w:hAnsi="Calibri" w:cs="Calibri"/>
                <w:b/>
                <w:bCs/>
                <w:color w:val="000000"/>
                <w:sz w:val="20"/>
                <w:szCs w:val="20"/>
                <w:lang w:eastAsia="en-GB"/>
              </w:rPr>
              <w:t>955</w:t>
            </w:r>
          </w:p>
        </w:tc>
      </w:tr>
    </w:tbl>
    <w:p w:rsidR="00F2548D" w:rsidRDefault="00E2164F" w:rsidP="00822D4E">
      <w:pPr>
        <w:jc w:val="both"/>
      </w:pPr>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146050</wp:posOffset>
            </wp:positionV>
            <wp:extent cx="3175000" cy="3999230"/>
            <wp:effectExtent l="0" t="0" r="25400" b="20320"/>
            <wp:wrapTight wrapText="bothSides">
              <wp:wrapPolygon edited="0">
                <wp:start x="0" y="0"/>
                <wp:lineTo x="0" y="21607"/>
                <wp:lineTo x="21643" y="21607"/>
                <wp:lineTo x="21643"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F2548D" w:rsidRDefault="00F2548D" w:rsidP="009A08AC">
      <w:pPr>
        <w:jc w:val="both"/>
      </w:pPr>
      <w:r>
        <w:t xml:space="preserve">The surge at the end of 2017, in addition to increasing demand throughout the year, means that for the first year ever we distributed more than £100,000 and more than 1000 grants (1167) during </w:t>
      </w:r>
      <w:r w:rsidR="009A08AC">
        <w:t xml:space="preserve">one calendar year </w:t>
      </w:r>
      <w:r>
        <w:t>[January – December</w:t>
      </w:r>
      <w:r w:rsidR="009A08AC">
        <w:t xml:space="preserve"> 2017</w:t>
      </w:r>
      <w:r>
        <w:t>].</w:t>
      </w:r>
    </w:p>
    <w:p w:rsidR="00F2548D" w:rsidRDefault="00E2164F" w:rsidP="00822D4E">
      <w:pPr>
        <w:jc w:val="both"/>
      </w:pPr>
      <w:r>
        <w:t>In Q1 – Q3 of 2017-18 we have already distributed £82,534.35 of destitution grants, already exceeding any other financial year in the history of RST, with another quarter still to come.</w:t>
      </w:r>
    </w:p>
    <w:tbl>
      <w:tblPr>
        <w:tblpPr w:leftFromText="180" w:rightFromText="180" w:vertAnchor="text" w:horzAnchor="page" w:tblpX="6773" w:tblpY="317"/>
        <w:tblW w:w="4498" w:type="dxa"/>
        <w:tblLook w:val="04A0" w:firstRow="1" w:lastRow="0" w:firstColumn="1" w:lastColumn="0" w:noHBand="0" w:noVBand="1"/>
      </w:tblPr>
      <w:tblGrid>
        <w:gridCol w:w="582"/>
        <w:gridCol w:w="979"/>
        <w:gridCol w:w="979"/>
        <w:gridCol w:w="979"/>
        <w:gridCol w:w="979"/>
      </w:tblGrid>
      <w:tr w:rsidR="00E2164F" w:rsidRPr="00E2164F" w:rsidTr="00E2164F">
        <w:trPr>
          <w:trHeight w:val="300"/>
        </w:trPr>
        <w:tc>
          <w:tcPr>
            <w:tcW w:w="582" w:type="dxa"/>
            <w:tcBorders>
              <w:top w:val="nil"/>
              <w:left w:val="nil"/>
              <w:bottom w:val="nil"/>
              <w:right w:val="nil"/>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color w:val="000000"/>
                <w:sz w:val="20"/>
                <w:szCs w:val="20"/>
                <w:lang w:eastAsia="en-GB"/>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14-15</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15-16</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16-17</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17-18</w:t>
            </w:r>
          </w:p>
        </w:tc>
      </w:tr>
      <w:tr w:rsidR="00E2164F" w:rsidRPr="00E2164F" w:rsidTr="00E2164F">
        <w:trPr>
          <w:trHeight w:val="300"/>
        </w:trPr>
        <w:tc>
          <w:tcPr>
            <w:tcW w:w="582" w:type="dxa"/>
            <w:tcBorders>
              <w:top w:val="single" w:sz="4" w:space="0" w:color="auto"/>
              <w:left w:val="single" w:sz="4" w:space="0" w:color="auto"/>
              <w:bottom w:val="single" w:sz="4" w:space="0" w:color="auto"/>
              <w:right w:val="nil"/>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Q1</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3270</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9221</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16195.22</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19638.27</w:t>
            </w:r>
          </w:p>
        </w:tc>
      </w:tr>
      <w:tr w:rsidR="00E2164F" w:rsidRPr="00E2164F" w:rsidTr="00E2164F">
        <w:trPr>
          <w:trHeight w:val="300"/>
        </w:trPr>
        <w:tc>
          <w:tcPr>
            <w:tcW w:w="582" w:type="dxa"/>
            <w:tcBorders>
              <w:top w:val="nil"/>
              <w:left w:val="single" w:sz="4" w:space="0" w:color="auto"/>
              <w:bottom w:val="single" w:sz="4" w:space="0" w:color="auto"/>
              <w:right w:val="nil"/>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Q2</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3590.27</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16600.3</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19449.23</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25006.49</w:t>
            </w:r>
          </w:p>
        </w:tc>
      </w:tr>
      <w:tr w:rsidR="00E2164F" w:rsidRPr="00E2164F" w:rsidTr="00E2164F">
        <w:trPr>
          <w:trHeight w:val="300"/>
        </w:trPr>
        <w:tc>
          <w:tcPr>
            <w:tcW w:w="582" w:type="dxa"/>
            <w:tcBorders>
              <w:top w:val="nil"/>
              <w:left w:val="single" w:sz="4" w:space="0" w:color="auto"/>
              <w:bottom w:val="single" w:sz="4" w:space="0" w:color="auto"/>
              <w:right w:val="nil"/>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Q3</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5170</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20825.75</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18355.48</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37889.59</w:t>
            </w:r>
          </w:p>
        </w:tc>
      </w:tr>
      <w:tr w:rsidR="00E2164F" w:rsidRPr="00E2164F" w:rsidTr="00E2164F">
        <w:trPr>
          <w:trHeight w:val="300"/>
        </w:trPr>
        <w:tc>
          <w:tcPr>
            <w:tcW w:w="582" w:type="dxa"/>
            <w:tcBorders>
              <w:top w:val="nil"/>
              <w:left w:val="single" w:sz="4" w:space="0" w:color="auto"/>
              <w:bottom w:val="single" w:sz="4" w:space="0" w:color="auto"/>
              <w:right w:val="nil"/>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Q4</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6125</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12014.87</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18188.63</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color w:val="000000"/>
                <w:sz w:val="20"/>
                <w:szCs w:val="20"/>
                <w:lang w:eastAsia="en-GB"/>
              </w:rPr>
            </w:pPr>
            <w:r w:rsidRPr="00E2164F">
              <w:rPr>
                <w:rFonts w:ascii="Calibri" w:eastAsia="Times New Roman" w:hAnsi="Calibri" w:cs="Calibri"/>
                <w:color w:val="000000"/>
                <w:sz w:val="20"/>
                <w:szCs w:val="20"/>
                <w:lang w:eastAsia="en-GB"/>
              </w:rPr>
              <w:t>0</w:t>
            </w:r>
          </w:p>
        </w:tc>
      </w:tr>
      <w:tr w:rsidR="00E2164F" w:rsidRPr="00E2164F" w:rsidTr="00E2164F">
        <w:trPr>
          <w:trHeight w:val="300"/>
        </w:trPr>
        <w:tc>
          <w:tcPr>
            <w:tcW w:w="582" w:type="dxa"/>
            <w:tcBorders>
              <w:top w:val="nil"/>
              <w:left w:val="nil"/>
              <w:bottom w:val="nil"/>
              <w:right w:val="nil"/>
            </w:tcBorders>
            <w:shd w:val="clear" w:color="auto" w:fill="auto"/>
            <w:noWrap/>
            <w:vAlign w:val="bottom"/>
            <w:hideMark/>
          </w:tcPr>
          <w:p w:rsidR="00E2164F" w:rsidRPr="00E2164F" w:rsidRDefault="00E2164F" w:rsidP="00E2164F">
            <w:pPr>
              <w:spacing w:after="0" w:line="240" w:lineRule="auto"/>
              <w:rPr>
                <w:rFonts w:ascii="Calibri" w:eastAsia="Times New Roman" w:hAnsi="Calibri" w:cs="Calibri"/>
                <w:color w:val="000000"/>
                <w:sz w:val="20"/>
                <w:szCs w:val="20"/>
                <w:lang w:eastAsia="en-GB"/>
              </w:rPr>
            </w:pP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18155.27</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58661.92</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72188.56</w:t>
            </w:r>
          </w:p>
        </w:tc>
        <w:tc>
          <w:tcPr>
            <w:tcW w:w="979" w:type="dxa"/>
            <w:tcBorders>
              <w:top w:val="nil"/>
              <w:left w:val="nil"/>
              <w:bottom w:val="single" w:sz="4" w:space="0" w:color="auto"/>
              <w:right w:val="single" w:sz="4" w:space="0" w:color="auto"/>
            </w:tcBorders>
            <w:shd w:val="clear" w:color="auto" w:fill="auto"/>
            <w:noWrap/>
            <w:vAlign w:val="bottom"/>
            <w:hideMark/>
          </w:tcPr>
          <w:p w:rsidR="00E2164F" w:rsidRPr="00E2164F" w:rsidRDefault="00E2164F" w:rsidP="00E2164F">
            <w:pPr>
              <w:spacing w:after="0" w:line="240" w:lineRule="auto"/>
              <w:jc w:val="right"/>
              <w:rPr>
                <w:rFonts w:ascii="Calibri" w:eastAsia="Times New Roman" w:hAnsi="Calibri" w:cs="Calibri"/>
                <w:b/>
                <w:bCs/>
                <w:color w:val="000000"/>
                <w:sz w:val="20"/>
                <w:szCs w:val="20"/>
                <w:lang w:eastAsia="en-GB"/>
              </w:rPr>
            </w:pPr>
            <w:r w:rsidRPr="00E2164F">
              <w:rPr>
                <w:rFonts w:ascii="Calibri" w:eastAsia="Times New Roman" w:hAnsi="Calibri" w:cs="Calibri"/>
                <w:b/>
                <w:bCs/>
                <w:color w:val="000000"/>
                <w:sz w:val="20"/>
                <w:szCs w:val="20"/>
                <w:lang w:eastAsia="en-GB"/>
              </w:rPr>
              <w:t>82534.35</w:t>
            </w:r>
          </w:p>
        </w:tc>
      </w:tr>
    </w:tbl>
    <w:p w:rsidR="00E2164F" w:rsidRPr="00E2164F" w:rsidRDefault="00E2164F" w:rsidP="00E2164F">
      <w:pPr>
        <w:spacing w:after="0"/>
        <w:jc w:val="both"/>
        <w:rPr>
          <w:b/>
          <w:bCs/>
          <w:sz w:val="20"/>
          <w:szCs w:val="20"/>
        </w:rPr>
      </w:pPr>
      <w:r w:rsidRPr="00E2164F">
        <w:rPr>
          <w:b/>
          <w:bCs/>
          <w:sz w:val="20"/>
          <w:szCs w:val="20"/>
        </w:rPr>
        <w:t>Total value of grants distributed</w:t>
      </w:r>
    </w:p>
    <w:p w:rsidR="00E2164F" w:rsidRDefault="00E2164F" w:rsidP="00822D4E">
      <w:pPr>
        <w:jc w:val="both"/>
      </w:pPr>
    </w:p>
    <w:p w:rsidR="00F2548D" w:rsidRDefault="00F2548D" w:rsidP="00822D4E">
      <w:pPr>
        <w:jc w:val="both"/>
      </w:pPr>
    </w:p>
    <w:p w:rsidR="00822D4E" w:rsidRDefault="00822D4E" w:rsidP="00822D4E">
      <w:pPr>
        <w:jc w:val="both"/>
      </w:pPr>
    </w:p>
    <w:p w:rsidR="00F2548D" w:rsidRDefault="00F2548D" w:rsidP="00822D4E">
      <w:pPr>
        <w:jc w:val="both"/>
      </w:pPr>
    </w:p>
    <w:p w:rsidR="00F2548D" w:rsidRDefault="00F2548D" w:rsidP="00822D4E">
      <w:pPr>
        <w:jc w:val="both"/>
      </w:pPr>
    </w:p>
    <w:p w:rsidR="00CB6D99" w:rsidRPr="004B4B2F" w:rsidRDefault="00CB6D99" w:rsidP="007B0AEC">
      <w:pPr>
        <w:jc w:val="both"/>
        <w:rPr>
          <w:b/>
          <w:bCs/>
        </w:rPr>
      </w:pPr>
      <w:r>
        <w:rPr>
          <w:b/>
          <w:bCs/>
        </w:rPr>
        <w:t>Countries of origin</w:t>
      </w:r>
      <w:r w:rsidR="004B4B2F">
        <w:rPr>
          <w:b/>
          <w:bCs/>
        </w:rPr>
        <w:t xml:space="preserve"> </w:t>
      </w:r>
      <w:r w:rsidR="004B4B2F">
        <w:rPr>
          <w:b/>
          <w:bCs/>
        </w:rPr>
        <w:tab/>
      </w:r>
      <w:r w:rsidR="004B4B2F">
        <w:rPr>
          <w:b/>
          <w:bCs/>
        </w:rPr>
        <w:br/>
      </w:r>
      <w:proofErr w:type="gramStart"/>
      <w:r w:rsidR="007B0AEC">
        <w:t>We</w:t>
      </w:r>
      <w:proofErr w:type="gramEnd"/>
      <w:r w:rsidR="007B0AEC">
        <w:t xml:space="preserve"> continued to see a high number of applicat</w:t>
      </w:r>
      <w:r w:rsidR="009A08AC">
        <w:t xml:space="preserve">ions from Iran in Q3; </w:t>
      </w:r>
      <w:r w:rsidR="007A7E54">
        <w:t>1 in 5 of all applicants com</w:t>
      </w:r>
      <w:r w:rsidR="007B0AEC">
        <w:t>e</w:t>
      </w:r>
      <w:r w:rsidR="007A7E54">
        <w:t xml:space="preserve"> from Iran. </w:t>
      </w:r>
      <w:r w:rsidR="007B0AEC">
        <w:t xml:space="preserve">Q3 also saw a significant surge in applications from Iraqis, with more than 60 Iraqi applicants in this quarter alone. </w:t>
      </w:r>
      <w:r w:rsidR="00EF5498">
        <w:t>Only 36 of the 955 grant applicants this year so far were Syrians. Eritrea has also seen a drop in the number of applications compared to the last two years when it has consistently been the top country of origin of our applicants.</w:t>
      </w:r>
    </w:p>
    <w:p w:rsidR="00CB6D99" w:rsidRPr="007A7E54" w:rsidRDefault="007A7E54" w:rsidP="007A7E54">
      <w:pPr>
        <w:jc w:val="both"/>
        <w:rPr>
          <w:u w:val="single"/>
        </w:rPr>
      </w:pPr>
      <w:r w:rsidRPr="007A7E54">
        <w:rPr>
          <w:u w:val="single"/>
        </w:rPr>
        <w:t>Top five countries of origin:</w:t>
      </w:r>
    </w:p>
    <w:tbl>
      <w:tblPr>
        <w:tblW w:w="5917" w:type="dxa"/>
        <w:tblInd w:w="93" w:type="dxa"/>
        <w:tblLook w:val="04A0" w:firstRow="1" w:lastRow="0" w:firstColumn="1" w:lastColumn="0" w:noHBand="0" w:noVBand="1"/>
      </w:tblPr>
      <w:tblGrid>
        <w:gridCol w:w="1511"/>
        <w:gridCol w:w="551"/>
        <w:gridCol w:w="1480"/>
        <w:gridCol w:w="440"/>
        <w:gridCol w:w="1384"/>
        <w:gridCol w:w="551"/>
      </w:tblGrid>
      <w:tr w:rsidR="00CB6D99" w:rsidRPr="00CB6D99" w:rsidTr="007B0AEC">
        <w:trPr>
          <w:trHeight w:val="300"/>
        </w:trPr>
        <w:tc>
          <w:tcPr>
            <w:tcW w:w="20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D99" w:rsidRPr="00CB6D99" w:rsidRDefault="007B0AEC" w:rsidP="00CB6D99">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Q1 – Q3</w:t>
            </w:r>
            <w:r w:rsidR="00CB6D99" w:rsidRPr="00CB6D99">
              <w:rPr>
                <w:rFonts w:ascii="Calibri" w:eastAsia="Times New Roman" w:hAnsi="Calibri" w:cs="Calibri"/>
                <w:b/>
                <w:bCs/>
                <w:color w:val="000000"/>
                <w:lang w:eastAsia="en-GB"/>
              </w:rPr>
              <w:t xml:space="preserve"> 2015-16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B6D99" w:rsidRPr="00CB6D99" w:rsidRDefault="00CB6D99" w:rsidP="007B0AEC">
            <w:pPr>
              <w:spacing w:after="0" w:line="240" w:lineRule="auto"/>
              <w:jc w:val="center"/>
              <w:rPr>
                <w:rFonts w:ascii="Calibri" w:eastAsia="Times New Roman" w:hAnsi="Calibri" w:cs="Calibri"/>
                <w:b/>
                <w:bCs/>
                <w:color w:val="000000"/>
                <w:lang w:eastAsia="en-GB"/>
              </w:rPr>
            </w:pPr>
            <w:r w:rsidRPr="00CB6D99">
              <w:rPr>
                <w:rFonts w:ascii="Calibri" w:eastAsia="Times New Roman" w:hAnsi="Calibri" w:cs="Calibri"/>
                <w:b/>
                <w:bCs/>
                <w:color w:val="000000"/>
                <w:lang w:eastAsia="en-GB"/>
              </w:rPr>
              <w:t xml:space="preserve">Q1 </w:t>
            </w:r>
            <w:r w:rsidR="007B0AEC">
              <w:rPr>
                <w:rFonts w:ascii="Calibri" w:eastAsia="Times New Roman" w:hAnsi="Calibri" w:cs="Calibri"/>
                <w:b/>
                <w:bCs/>
                <w:color w:val="000000"/>
                <w:lang w:eastAsia="en-GB"/>
              </w:rPr>
              <w:t>–Q3</w:t>
            </w:r>
            <w:r w:rsidRPr="00CB6D99">
              <w:rPr>
                <w:rFonts w:ascii="Calibri" w:eastAsia="Times New Roman" w:hAnsi="Calibri" w:cs="Calibri"/>
                <w:b/>
                <w:bCs/>
                <w:color w:val="000000"/>
                <w:lang w:eastAsia="en-GB"/>
              </w:rPr>
              <w:t xml:space="preserve"> 2016-17</w:t>
            </w:r>
          </w:p>
        </w:tc>
        <w:tc>
          <w:tcPr>
            <w:tcW w:w="19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B6D99" w:rsidRPr="00CB6D99" w:rsidRDefault="00CB6D99" w:rsidP="007B0AEC">
            <w:pPr>
              <w:spacing w:after="0" w:line="240" w:lineRule="auto"/>
              <w:jc w:val="center"/>
              <w:rPr>
                <w:rFonts w:ascii="Calibri" w:eastAsia="Times New Roman" w:hAnsi="Calibri" w:cs="Calibri"/>
                <w:b/>
                <w:bCs/>
                <w:color w:val="000000"/>
                <w:lang w:eastAsia="en-GB"/>
              </w:rPr>
            </w:pPr>
            <w:r w:rsidRPr="00CB6D99">
              <w:rPr>
                <w:rFonts w:ascii="Calibri" w:eastAsia="Times New Roman" w:hAnsi="Calibri" w:cs="Calibri"/>
                <w:b/>
                <w:bCs/>
                <w:color w:val="000000"/>
                <w:lang w:eastAsia="en-GB"/>
              </w:rPr>
              <w:t xml:space="preserve">Q1 </w:t>
            </w:r>
            <w:r w:rsidR="007B0AEC">
              <w:rPr>
                <w:rFonts w:ascii="Calibri" w:eastAsia="Times New Roman" w:hAnsi="Calibri" w:cs="Calibri"/>
                <w:b/>
                <w:bCs/>
                <w:color w:val="000000"/>
                <w:lang w:eastAsia="en-GB"/>
              </w:rPr>
              <w:t>–Q3</w:t>
            </w:r>
            <w:r w:rsidRPr="00CB6D99">
              <w:rPr>
                <w:rFonts w:ascii="Calibri" w:eastAsia="Times New Roman" w:hAnsi="Calibri" w:cs="Calibri"/>
                <w:b/>
                <w:bCs/>
                <w:color w:val="000000"/>
                <w:lang w:eastAsia="en-GB"/>
              </w:rPr>
              <w:t xml:space="preserve"> 2017-18</w:t>
            </w:r>
          </w:p>
        </w:tc>
      </w:tr>
      <w:tr w:rsidR="00CB6D99" w:rsidRPr="00CB6D99" w:rsidTr="007B0AEC">
        <w:trPr>
          <w:trHeight w:val="300"/>
        </w:trPr>
        <w:tc>
          <w:tcPr>
            <w:tcW w:w="1511" w:type="dxa"/>
            <w:tcBorders>
              <w:top w:val="nil"/>
              <w:left w:val="single" w:sz="4" w:space="0" w:color="auto"/>
              <w:bottom w:val="single" w:sz="4" w:space="0" w:color="auto"/>
              <w:right w:val="single" w:sz="4" w:space="0" w:color="auto"/>
            </w:tcBorders>
            <w:shd w:val="clear" w:color="auto" w:fill="00B0F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1 Eritrea</w:t>
            </w:r>
          </w:p>
        </w:tc>
        <w:tc>
          <w:tcPr>
            <w:tcW w:w="551" w:type="dxa"/>
            <w:tcBorders>
              <w:top w:val="nil"/>
              <w:left w:val="nil"/>
              <w:bottom w:val="single" w:sz="4" w:space="0" w:color="auto"/>
              <w:right w:val="single" w:sz="4" w:space="0" w:color="auto"/>
            </w:tcBorders>
            <w:shd w:val="clear" w:color="auto" w:fill="00B0F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112</w:t>
            </w:r>
          </w:p>
        </w:tc>
        <w:tc>
          <w:tcPr>
            <w:tcW w:w="1480" w:type="dxa"/>
            <w:tcBorders>
              <w:top w:val="nil"/>
              <w:left w:val="nil"/>
              <w:bottom w:val="single" w:sz="4" w:space="0" w:color="auto"/>
              <w:right w:val="single" w:sz="4" w:space="0" w:color="auto"/>
            </w:tcBorders>
            <w:shd w:val="clear" w:color="auto" w:fill="00B0F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1 Eritrea</w:t>
            </w:r>
          </w:p>
        </w:tc>
        <w:tc>
          <w:tcPr>
            <w:tcW w:w="440" w:type="dxa"/>
            <w:tcBorders>
              <w:top w:val="nil"/>
              <w:left w:val="nil"/>
              <w:bottom w:val="single" w:sz="4" w:space="0" w:color="auto"/>
              <w:right w:val="single" w:sz="4" w:space="0" w:color="auto"/>
            </w:tcBorders>
            <w:shd w:val="clear" w:color="auto" w:fill="00B0F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90</w:t>
            </w:r>
          </w:p>
        </w:tc>
        <w:tc>
          <w:tcPr>
            <w:tcW w:w="1384" w:type="dxa"/>
            <w:tcBorders>
              <w:top w:val="nil"/>
              <w:left w:val="nil"/>
              <w:bottom w:val="single" w:sz="4" w:space="0" w:color="auto"/>
              <w:right w:val="single" w:sz="4" w:space="0" w:color="auto"/>
            </w:tcBorders>
            <w:shd w:val="clear" w:color="auto" w:fill="FFFF0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1 Iran</w:t>
            </w:r>
          </w:p>
        </w:tc>
        <w:tc>
          <w:tcPr>
            <w:tcW w:w="551" w:type="dxa"/>
            <w:tcBorders>
              <w:top w:val="nil"/>
              <w:left w:val="nil"/>
              <w:bottom w:val="single" w:sz="4" w:space="0" w:color="auto"/>
              <w:right w:val="single" w:sz="4" w:space="0" w:color="auto"/>
            </w:tcBorders>
            <w:shd w:val="clear" w:color="auto" w:fill="FFFF0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w:t>
            </w:r>
          </w:p>
        </w:tc>
      </w:tr>
      <w:tr w:rsidR="00CB6D99" w:rsidRPr="00CB6D99" w:rsidTr="00EF5498">
        <w:trPr>
          <w:trHeight w:val="300"/>
        </w:trPr>
        <w:tc>
          <w:tcPr>
            <w:tcW w:w="1511" w:type="dxa"/>
            <w:tcBorders>
              <w:top w:val="nil"/>
              <w:left w:val="single" w:sz="4" w:space="0" w:color="auto"/>
              <w:bottom w:val="single" w:sz="4" w:space="0" w:color="auto"/>
              <w:right w:val="single" w:sz="4" w:space="0" w:color="auto"/>
            </w:tcBorders>
            <w:shd w:val="clear" w:color="auto" w:fill="92D05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2 Sudan</w:t>
            </w:r>
          </w:p>
        </w:tc>
        <w:tc>
          <w:tcPr>
            <w:tcW w:w="551" w:type="dxa"/>
            <w:tcBorders>
              <w:top w:val="nil"/>
              <w:left w:val="nil"/>
              <w:bottom w:val="single" w:sz="4" w:space="0" w:color="auto"/>
              <w:right w:val="single" w:sz="4" w:space="0" w:color="auto"/>
            </w:tcBorders>
            <w:shd w:val="clear" w:color="auto" w:fill="92D05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111</w:t>
            </w:r>
          </w:p>
        </w:tc>
        <w:tc>
          <w:tcPr>
            <w:tcW w:w="1480" w:type="dxa"/>
            <w:tcBorders>
              <w:top w:val="nil"/>
              <w:left w:val="nil"/>
              <w:bottom w:val="single" w:sz="4" w:space="0" w:color="auto"/>
              <w:right w:val="single" w:sz="4" w:space="0" w:color="auto"/>
            </w:tcBorders>
            <w:shd w:val="clear" w:color="auto" w:fill="FFC00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2 Syria</w:t>
            </w:r>
          </w:p>
        </w:tc>
        <w:tc>
          <w:tcPr>
            <w:tcW w:w="440" w:type="dxa"/>
            <w:tcBorders>
              <w:top w:val="nil"/>
              <w:left w:val="nil"/>
              <w:bottom w:val="single" w:sz="4" w:space="0" w:color="auto"/>
              <w:right w:val="single" w:sz="4" w:space="0" w:color="auto"/>
            </w:tcBorders>
            <w:shd w:val="clear" w:color="auto" w:fill="FFC00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73</w:t>
            </w:r>
          </w:p>
        </w:tc>
        <w:tc>
          <w:tcPr>
            <w:tcW w:w="1384" w:type="dxa"/>
            <w:tcBorders>
              <w:top w:val="nil"/>
              <w:left w:val="nil"/>
              <w:bottom w:val="single" w:sz="4" w:space="0" w:color="auto"/>
              <w:right w:val="single" w:sz="4" w:space="0" w:color="auto"/>
            </w:tcBorders>
            <w:shd w:val="clear" w:color="auto" w:fill="7030A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2 Iraq</w:t>
            </w:r>
          </w:p>
        </w:tc>
        <w:tc>
          <w:tcPr>
            <w:tcW w:w="551" w:type="dxa"/>
            <w:tcBorders>
              <w:top w:val="nil"/>
              <w:left w:val="nil"/>
              <w:bottom w:val="single" w:sz="4" w:space="0" w:color="auto"/>
              <w:right w:val="single" w:sz="4" w:space="0" w:color="auto"/>
            </w:tcBorders>
            <w:shd w:val="clear" w:color="auto" w:fill="7030A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122</w:t>
            </w:r>
          </w:p>
        </w:tc>
      </w:tr>
      <w:tr w:rsidR="00CB6D99" w:rsidRPr="00CB6D99" w:rsidTr="007B0AEC">
        <w:trPr>
          <w:trHeight w:val="300"/>
        </w:trPr>
        <w:tc>
          <w:tcPr>
            <w:tcW w:w="1511" w:type="dxa"/>
            <w:tcBorders>
              <w:top w:val="nil"/>
              <w:left w:val="single" w:sz="4" w:space="0" w:color="auto"/>
              <w:bottom w:val="single" w:sz="4" w:space="0" w:color="auto"/>
              <w:right w:val="single" w:sz="4" w:space="0" w:color="auto"/>
            </w:tcBorders>
            <w:shd w:val="clear" w:color="auto" w:fill="FFFF0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3 Iran</w:t>
            </w:r>
          </w:p>
        </w:tc>
        <w:tc>
          <w:tcPr>
            <w:tcW w:w="551" w:type="dxa"/>
            <w:tcBorders>
              <w:top w:val="nil"/>
              <w:left w:val="nil"/>
              <w:bottom w:val="single" w:sz="4" w:space="0" w:color="auto"/>
              <w:right w:val="single" w:sz="4" w:space="0" w:color="auto"/>
            </w:tcBorders>
            <w:shd w:val="clear" w:color="auto" w:fill="FFFF0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81</w:t>
            </w:r>
          </w:p>
        </w:tc>
        <w:tc>
          <w:tcPr>
            <w:tcW w:w="1480" w:type="dxa"/>
            <w:tcBorders>
              <w:top w:val="nil"/>
              <w:left w:val="nil"/>
              <w:bottom w:val="single" w:sz="4" w:space="0" w:color="auto"/>
              <w:right w:val="single" w:sz="4" w:space="0" w:color="auto"/>
            </w:tcBorders>
            <w:shd w:val="clear" w:color="auto" w:fill="FFFF0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00CB6D99" w:rsidRPr="00CB6D99">
              <w:rPr>
                <w:rFonts w:ascii="Calibri" w:eastAsia="Times New Roman" w:hAnsi="Calibri" w:cs="Calibri"/>
                <w:color w:val="000000"/>
                <w:lang w:eastAsia="en-GB"/>
              </w:rPr>
              <w:t xml:space="preserve"> Iran</w:t>
            </w:r>
          </w:p>
        </w:tc>
        <w:tc>
          <w:tcPr>
            <w:tcW w:w="440" w:type="dxa"/>
            <w:tcBorders>
              <w:top w:val="nil"/>
              <w:left w:val="nil"/>
              <w:bottom w:val="single" w:sz="4" w:space="0" w:color="auto"/>
              <w:right w:val="single" w:sz="4" w:space="0" w:color="auto"/>
            </w:tcBorders>
            <w:shd w:val="clear" w:color="auto" w:fill="FFFF0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69</w:t>
            </w:r>
          </w:p>
        </w:tc>
        <w:tc>
          <w:tcPr>
            <w:tcW w:w="1384" w:type="dxa"/>
            <w:tcBorders>
              <w:top w:val="nil"/>
              <w:left w:val="nil"/>
              <w:bottom w:val="single" w:sz="4" w:space="0" w:color="auto"/>
              <w:right w:val="single" w:sz="4" w:space="0" w:color="auto"/>
            </w:tcBorders>
            <w:shd w:val="clear" w:color="auto" w:fill="00B0F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3 Eritrea</w:t>
            </w:r>
          </w:p>
        </w:tc>
        <w:tc>
          <w:tcPr>
            <w:tcW w:w="551" w:type="dxa"/>
            <w:tcBorders>
              <w:top w:val="nil"/>
              <w:left w:val="nil"/>
              <w:bottom w:val="single" w:sz="4" w:space="0" w:color="auto"/>
              <w:right w:val="single" w:sz="4" w:space="0" w:color="auto"/>
            </w:tcBorders>
            <w:shd w:val="clear" w:color="auto" w:fill="00B0F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74</w:t>
            </w:r>
          </w:p>
        </w:tc>
      </w:tr>
      <w:tr w:rsidR="00CB6D99" w:rsidRPr="00CB6D99" w:rsidTr="00EF5498">
        <w:trPr>
          <w:trHeight w:val="300"/>
        </w:trPr>
        <w:tc>
          <w:tcPr>
            <w:tcW w:w="1511" w:type="dxa"/>
            <w:tcBorders>
              <w:top w:val="nil"/>
              <w:left w:val="single" w:sz="4" w:space="0" w:color="auto"/>
              <w:bottom w:val="single" w:sz="4" w:space="0" w:color="auto"/>
              <w:right w:val="single" w:sz="4" w:space="0" w:color="auto"/>
            </w:tcBorders>
            <w:shd w:val="clear" w:color="auto" w:fill="FFC000"/>
            <w:noWrap/>
            <w:vAlign w:val="bottom"/>
            <w:hideMark/>
          </w:tcPr>
          <w:p w:rsidR="00CB6D99" w:rsidRPr="00CB6D99" w:rsidRDefault="00CB6D99" w:rsidP="007B0AEC">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 xml:space="preserve">4 </w:t>
            </w:r>
            <w:r w:rsidR="007B0AEC">
              <w:rPr>
                <w:rFonts w:ascii="Calibri" w:eastAsia="Times New Roman" w:hAnsi="Calibri" w:cs="Calibri"/>
                <w:color w:val="000000"/>
                <w:lang w:eastAsia="en-GB"/>
              </w:rPr>
              <w:t>Syria</w:t>
            </w:r>
          </w:p>
        </w:tc>
        <w:tc>
          <w:tcPr>
            <w:tcW w:w="551" w:type="dxa"/>
            <w:tcBorders>
              <w:top w:val="nil"/>
              <w:left w:val="nil"/>
              <w:bottom w:val="single" w:sz="4" w:space="0" w:color="auto"/>
              <w:right w:val="single" w:sz="4" w:space="0" w:color="auto"/>
            </w:tcBorders>
            <w:shd w:val="clear" w:color="auto" w:fill="FFC00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60</w:t>
            </w:r>
          </w:p>
        </w:tc>
        <w:tc>
          <w:tcPr>
            <w:tcW w:w="1480" w:type="dxa"/>
            <w:tcBorders>
              <w:top w:val="nil"/>
              <w:left w:val="nil"/>
              <w:bottom w:val="single" w:sz="4" w:space="0" w:color="auto"/>
              <w:right w:val="single" w:sz="4" w:space="0" w:color="auto"/>
            </w:tcBorders>
            <w:shd w:val="clear" w:color="auto" w:fill="92D05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w:t>
            </w:r>
            <w:r w:rsidR="00CB6D99" w:rsidRPr="00CB6D99">
              <w:rPr>
                <w:rFonts w:ascii="Calibri" w:eastAsia="Times New Roman" w:hAnsi="Calibri" w:cs="Calibri"/>
                <w:color w:val="000000"/>
                <w:lang w:eastAsia="en-GB"/>
              </w:rPr>
              <w:t xml:space="preserve"> Sudan</w:t>
            </w:r>
          </w:p>
        </w:tc>
        <w:tc>
          <w:tcPr>
            <w:tcW w:w="440" w:type="dxa"/>
            <w:tcBorders>
              <w:top w:val="nil"/>
              <w:left w:val="nil"/>
              <w:bottom w:val="single" w:sz="4" w:space="0" w:color="auto"/>
              <w:right w:val="single" w:sz="4" w:space="0" w:color="auto"/>
            </w:tcBorders>
            <w:shd w:val="clear" w:color="auto" w:fill="92D05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62</w:t>
            </w:r>
          </w:p>
        </w:tc>
        <w:tc>
          <w:tcPr>
            <w:tcW w:w="1384" w:type="dxa"/>
            <w:tcBorders>
              <w:top w:val="nil"/>
              <w:left w:val="nil"/>
              <w:bottom w:val="single" w:sz="4" w:space="0" w:color="auto"/>
              <w:right w:val="single" w:sz="4" w:space="0" w:color="auto"/>
            </w:tcBorders>
            <w:shd w:val="clear" w:color="auto" w:fill="92D050"/>
            <w:noWrap/>
            <w:vAlign w:val="bottom"/>
            <w:hideMark/>
          </w:tcPr>
          <w:p w:rsidR="00CB6D99" w:rsidRPr="00CB6D99" w:rsidRDefault="00CB6D99" w:rsidP="007B0AEC">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4</w:t>
            </w:r>
            <w:r w:rsidR="007B0AEC">
              <w:rPr>
                <w:rFonts w:ascii="Calibri" w:eastAsia="Times New Roman" w:hAnsi="Calibri" w:cs="Calibri"/>
                <w:color w:val="000000"/>
                <w:lang w:eastAsia="en-GB"/>
              </w:rPr>
              <w:t xml:space="preserve"> Sudan</w:t>
            </w:r>
          </w:p>
        </w:tc>
        <w:tc>
          <w:tcPr>
            <w:tcW w:w="551" w:type="dxa"/>
            <w:tcBorders>
              <w:top w:val="nil"/>
              <w:left w:val="nil"/>
              <w:bottom w:val="single" w:sz="4" w:space="0" w:color="auto"/>
              <w:right w:val="single" w:sz="4" w:space="0" w:color="auto"/>
            </w:tcBorders>
            <w:shd w:val="clear" w:color="auto" w:fill="92D05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61</w:t>
            </w:r>
          </w:p>
        </w:tc>
      </w:tr>
      <w:tr w:rsidR="00CB6D99" w:rsidRPr="00CB6D99" w:rsidTr="00EF5498">
        <w:trPr>
          <w:trHeight w:val="300"/>
        </w:trPr>
        <w:tc>
          <w:tcPr>
            <w:tcW w:w="1511" w:type="dxa"/>
            <w:tcBorders>
              <w:top w:val="nil"/>
              <w:left w:val="single" w:sz="4" w:space="0" w:color="auto"/>
              <w:bottom w:val="single" w:sz="4" w:space="0" w:color="auto"/>
              <w:right w:val="single" w:sz="4" w:space="0" w:color="auto"/>
            </w:tcBorders>
            <w:shd w:val="clear" w:color="auto" w:fill="7030A0"/>
            <w:noWrap/>
            <w:vAlign w:val="bottom"/>
            <w:hideMark/>
          </w:tcPr>
          <w:p w:rsidR="00CB6D99" w:rsidRPr="00CB6D99" w:rsidRDefault="00CB6D99" w:rsidP="007B0AEC">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5</w:t>
            </w:r>
            <w:r w:rsidR="007B0AEC">
              <w:rPr>
                <w:rFonts w:ascii="Calibri" w:eastAsia="Times New Roman" w:hAnsi="Calibri" w:cs="Calibri"/>
                <w:color w:val="000000"/>
                <w:lang w:eastAsia="en-GB"/>
              </w:rPr>
              <w:t xml:space="preserve"> Iraq</w:t>
            </w:r>
          </w:p>
        </w:tc>
        <w:tc>
          <w:tcPr>
            <w:tcW w:w="551" w:type="dxa"/>
            <w:tcBorders>
              <w:top w:val="nil"/>
              <w:left w:val="nil"/>
              <w:bottom w:val="single" w:sz="4" w:space="0" w:color="auto"/>
              <w:right w:val="single" w:sz="4" w:space="0" w:color="auto"/>
            </w:tcBorders>
            <w:shd w:val="clear" w:color="auto" w:fill="7030A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48</w:t>
            </w:r>
          </w:p>
        </w:tc>
        <w:tc>
          <w:tcPr>
            <w:tcW w:w="1480" w:type="dxa"/>
            <w:tcBorders>
              <w:top w:val="nil"/>
              <w:left w:val="nil"/>
              <w:bottom w:val="single" w:sz="4" w:space="0" w:color="auto"/>
              <w:right w:val="single" w:sz="4" w:space="0" w:color="auto"/>
            </w:tcBorders>
            <w:shd w:val="clear" w:color="auto" w:fill="7030A0"/>
            <w:noWrap/>
            <w:vAlign w:val="bottom"/>
            <w:hideMark/>
          </w:tcPr>
          <w:p w:rsidR="00CB6D99" w:rsidRPr="00CB6D99" w:rsidRDefault="00CB6D99" w:rsidP="00CB6D99">
            <w:pPr>
              <w:spacing w:after="0" w:line="240" w:lineRule="auto"/>
              <w:rPr>
                <w:rFonts w:ascii="Calibri" w:eastAsia="Times New Roman" w:hAnsi="Calibri" w:cs="Calibri"/>
                <w:color w:val="000000"/>
                <w:lang w:eastAsia="en-GB"/>
              </w:rPr>
            </w:pPr>
            <w:r w:rsidRPr="00CB6D99">
              <w:rPr>
                <w:rFonts w:ascii="Calibri" w:eastAsia="Times New Roman" w:hAnsi="Calibri" w:cs="Calibri"/>
                <w:color w:val="000000"/>
                <w:lang w:eastAsia="en-GB"/>
              </w:rPr>
              <w:t>5 Iraq</w:t>
            </w:r>
          </w:p>
        </w:tc>
        <w:tc>
          <w:tcPr>
            <w:tcW w:w="440" w:type="dxa"/>
            <w:tcBorders>
              <w:top w:val="nil"/>
              <w:left w:val="nil"/>
              <w:bottom w:val="single" w:sz="4" w:space="0" w:color="auto"/>
              <w:right w:val="single" w:sz="4" w:space="0" w:color="auto"/>
            </w:tcBorders>
            <w:shd w:val="clear" w:color="auto" w:fill="7030A0"/>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45</w:t>
            </w:r>
          </w:p>
        </w:tc>
        <w:tc>
          <w:tcPr>
            <w:tcW w:w="1384" w:type="dxa"/>
            <w:tcBorders>
              <w:top w:val="nil"/>
              <w:left w:val="nil"/>
              <w:bottom w:val="single" w:sz="4" w:space="0" w:color="auto"/>
              <w:right w:val="single" w:sz="4" w:space="0" w:color="auto"/>
            </w:tcBorders>
            <w:shd w:val="clear" w:color="auto" w:fill="E5B8B7" w:themeFill="accent2" w:themeFillTint="66"/>
            <w:noWrap/>
            <w:vAlign w:val="bottom"/>
            <w:hideMark/>
          </w:tcPr>
          <w:p w:rsidR="00CB6D99" w:rsidRPr="00CB6D99" w:rsidRDefault="007B0AEC" w:rsidP="007B0AE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 Pakistan</w:t>
            </w:r>
          </w:p>
        </w:tc>
        <w:tc>
          <w:tcPr>
            <w:tcW w:w="551" w:type="dxa"/>
            <w:tcBorders>
              <w:top w:val="nil"/>
              <w:left w:val="nil"/>
              <w:bottom w:val="single" w:sz="4" w:space="0" w:color="auto"/>
              <w:right w:val="single" w:sz="4" w:space="0" w:color="auto"/>
            </w:tcBorders>
            <w:shd w:val="clear" w:color="auto" w:fill="E5B8B7" w:themeFill="accent2" w:themeFillTint="66"/>
            <w:noWrap/>
            <w:vAlign w:val="bottom"/>
            <w:hideMark/>
          </w:tcPr>
          <w:p w:rsidR="00CB6D99" w:rsidRPr="00CB6D99" w:rsidRDefault="007B0AEC" w:rsidP="00CB6D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56</w:t>
            </w:r>
          </w:p>
        </w:tc>
      </w:tr>
    </w:tbl>
    <w:p w:rsidR="00CB6D99" w:rsidRPr="00CB6D99" w:rsidRDefault="00CB6D99" w:rsidP="00822D4E">
      <w:pPr>
        <w:jc w:val="both"/>
      </w:pPr>
    </w:p>
    <w:p w:rsidR="00EF5498" w:rsidRDefault="00EF5498" w:rsidP="004B4B2F">
      <w:pPr>
        <w:jc w:val="both"/>
        <w:rPr>
          <w:b/>
          <w:bCs/>
        </w:rPr>
      </w:pPr>
      <w:r>
        <w:rPr>
          <w:b/>
          <w:bCs/>
        </w:rPr>
        <w:t>Asylum status</w:t>
      </w:r>
    </w:p>
    <w:p w:rsidR="00EF5498" w:rsidRPr="00EF5498" w:rsidRDefault="00EF5498" w:rsidP="009A08AC">
      <w:r>
        <w:t xml:space="preserve">52% of all </w:t>
      </w:r>
      <w:r w:rsidR="009A08AC">
        <w:t xml:space="preserve">grant </w:t>
      </w:r>
      <w:r>
        <w:t>applicants during Q1-Q3 2017 were at the stage of submitting fresh cl</w:t>
      </w:r>
      <w:r w:rsidR="006C2BA3">
        <w:t>aims or further submissions</w:t>
      </w:r>
      <w:r>
        <w:t xml:space="preserve">. This highlights the fact that this is a </w:t>
      </w:r>
      <w:r w:rsidR="006C2BA3">
        <w:t xml:space="preserve">particularly </w:t>
      </w:r>
      <w:r>
        <w:t xml:space="preserve">vulnerable period for </w:t>
      </w:r>
      <w:r w:rsidR="006C2BA3">
        <w:t xml:space="preserve">asylum seekers. Firstly, this is a time when most applicants </w:t>
      </w:r>
      <w:r w:rsidR="009A08AC">
        <w:t>have</w:t>
      </w:r>
      <w:bookmarkStart w:id="0" w:name="_GoBack"/>
      <w:bookmarkEnd w:id="0"/>
      <w:r w:rsidR="006C2BA3">
        <w:t xml:space="preserve"> support cut off and they have to rely on RST for essential living expenses. Secondly, s</w:t>
      </w:r>
      <w:r w:rsidR="006C2BA3">
        <w:t>ince January 2015 any asylum seeker wishing to submit a fresh claim has to travel to Liverpool to submit paperwork. This is an arduous and potentially dangerous journey that asylum seekers usually undertake in one day, travelling down on the overnight bus, waiting for an early morning connection, staying most of the day in Liverpool and returning late. At the stage of making a fresh claim,</w:t>
      </w:r>
      <w:r w:rsidR="006C2BA3">
        <w:t xml:space="preserve"> because</w:t>
      </w:r>
      <w:r w:rsidR="006C2BA3">
        <w:t xml:space="preserve"> most applicants would have had oth</w:t>
      </w:r>
      <w:r w:rsidR="006C2BA3">
        <w:t>er support removed they</w:t>
      </w:r>
      <w:r w:rsidR="006C2BA3">
        <w:t xml:space="preserve"> would not have the means to pay for their travel without the support of RST.</w:t>
      </w:r>
      <w:r w:rsidR="006C2BA3">
        <w:t xml:space="preserve"> </w:t>
      </w:r>
    </w:p>
    <w:p w:rsidR="00EF5498" w:rsidRPr="00EF5498" w:rsidRDefault="006C2BA3" w:rsidP="004B4B2F">
      <w:pPr>
        <w:jc w:val="both"/>
        <w:rPr>
          <w:b/>
          <w:bCs/>
        </w:rPr>
      </w:pPr>
      <w:r>
        <w:rPr>
          <w:noProof/>
          <w:lang w:eastAsia="en-GB"/>
        </w:rPr>
        <w:drawing>
          <wp:inline distT="0" distB="0" distL="0" distR="0" wp14:anchorId="1E16D24D" wp14:editId="3664709E">
            <wp:extent cx="5687367" cy="2703006"/>
            <wp:effectExtent l="0" t="0" r="27940" b="215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6D6E" w:rsidRPr="00ED6D6E" w:rsidRDefault="001019B5" w:rsidP="001019B5">
      <w:r>
        <w:t xml:space="preserve"> </w:t>
      </w:r>
    </w:p>
    <w:sectPr w:rsidR="00ED6D6E" w:rsidRPr="00ED6D6E" w:rsidSect="001019B5">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7437"/>
    <w:multiLevelType w:val="hybridMultilevel"/>
    <w:tmpl w:val="7122C9F8"/>
    <w:styleLink w:val="ImportedStyle10"/>
    <w:lvl w:ilvl="0" w:tplc="E07A4A9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D7045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832499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AEF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0A3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56CE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E2831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F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758B6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5DE2657"/>
    <w:multiLevelType w:val="hybridMultilevel"/>
    <w:tmpl w:val="7122C9F8"/>
    <w:numStyleLink w:val="ImportedStyle10"/>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4E"/>
    <w:rsid w:val="001019B5"/>
    <w:rsid w:val="004A07F8"/>
    <w:rsid w:val="004B4B2F"/>
    <w:rsid w:val="004D3CBD"/>
    <w:rsid w:val="00601738"/>
    <w:rsid w:val="006C2BA3"/>
    <w:rsid w:val="007A7E54"/>
    <w:rsid w:val="007B0AEC"/>
    <w:rsid w:val="00822D4E"/>
    <w:rsid w:val="009A08AC"/>
    <w:rsid w:val="009B004A"/>
    <w:rsid w:val="00B03610"/>
    <w:rsid w:val="00CB6D99"/>
    <w:rsid w:val="00D57D46"/>
    <w:rsid w:val="00E2164F"/>
    <w:rsid w:val="00E23B03"/>
    <w:rsid w:val="00ED6D6E"/>
    <w:rsid w:val="00EF5498"/>
    <w:rsid w:val="00F254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99"/>
    <w:rPr>
      <w:rFonts w:ascii="Tahoma" w:hAnsi="Tahoma" w:cs="Tahoma"/>
      <w:sz w:val="16"/>
      <w:szCs w:val="16"/>
    </w:rPr>
  </w:style>
  <w:style w:type="paragraph" w:styleId="ListParagraph">
    <w:name w:val="List Paragraph"/>
    <w:rsid w:val="001019B5"/>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0">
    <w:name w:val="Imported Style 1.0"/>
    <w:rsid w:val="001019B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99"/>
    <w:rPr>
      <w:rFonts w:ascii="Tahoma" w:hAnsi="Tahoma" w:cs="Tahoma"/>
      <w:sz w:val="16"/>
      <w:szCs w:val="16"/>
    </w:rPr>
  </w:style>
  <w:style w:type="paragraph" w:styleId="ListParagraph">
    <w:name w:val="List Paragraph"/>
    <w:rsid w:val="001019B5"/>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0">
    <w:name w:val="Imported Style 1.0"/>
    <w:rsid w:val="001019B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7289">
      <w:bodyDiv w:val="1"/>
      <w:marLeft w:val="0"/>
      <w:marRight w:val="0"/>
      <w:marTop w:val="0"/>
      <w:marBottom w:val="0"/>
      <w:divBdr>
        <w:top w:val="none" w:sz="0" w:space="0" w:color="auto"/>
        <w:left w:val="none" w:sz="0" w:space="0" w:color="auto"/>
        <w:bottom w:val="none" w:sz="0" w:space="0" w:color="auto"/>
        <w:right w:val="none" w:sz="0" w:space="0" w:color="auto"/>
      </w:divBdr>
    </w:div>
    <w:div w:id="727849014">
      <w:bodyDiv w:val="1"/>
      <w:marLeft w:val="0"/>
      <w:marRight w:val="0"/>
      <w:marTop w:val="0"/>
      <w:marBottom w:val="0"/>
      <w:divBdr>
        <w:top w:val="none" w:sz="0" w:space="0" w:color="auto"/>
        <w:left w:val="none" w:sz="0" w:space="0" w:color="auto"/>
        <w:bottom w:val="none" w:sz="0" w:space="0" w:color="auto"/>
        <w:right w:val="none" w:sz="0" w:space="0" w:color="auto"/>
      </w:divBdr>
    </w:div>
    <w:div w:id="958100321">
      <w:bodyDiv w:val="1"/>
      <w:marLeft w:val="0"/>
      <w:marRight w:val="0"/>
      <w:marTop w:val="0"/>
      <w:marBottom w:val="0"/>
      <w:divBdr>
        <w:top w:val="none" w:sz="0" w:space="0" w:color="auto"/>
        <w:left w:val="none" w:sz="0" w:space="0" w:color="auto"/>
        <w:bottom w:val="none" w:sz="0" w:space="0" w:color="auto"/>
        <w:right w:val="none" w:sz="0" w:space="0" w:color="auto"/>
      </w:divBdr>
    </w:div>
    <w:div w:id="9887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ord\OneDrive\Documents\Zoe\Destitution%20grants%202013%20to%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Coord\OneDrive\Documents\Zoe\Destitution%20grants%202013%20to%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200"/>
              <a:t>Total number of </a:t>
            </a:r>
            <a:r>
              <a:rPr lang="en-GB" sz="1200" baseline="0"/>
              <a:t>grants distributed Apr 2014 - Dec 2017</a:t>
            </a:r>
            <a:endParaRPr lang="en-GB" sz="1200"/>
          </a:p>
        </c:rich>
      </c:tx>
      <c:overlay val="0"/>
    </c:title>
    <c:autoTitleDeleted val="0"/>
    <c:plotArea>
      <c:layout/>
      <c:barChart>
        <c:barDir val="col"/>
        <c:grouping val="clustered"/>
        <c:varyColors val="0"/>
        <c:ser>
          <c:idx val="0"/>
          <c:order val="0"/>
          <c:tx>
            <c:strRef>
              <c:f>Quarter!$A$3</c:f>
              <c:strCache>
                <c:ptCount val="1"/>
                <c:pt idx="0">
                  <c:v>Q1</c:v>
                </c:pt>
              </c:strCache>
            </c:strRef>
          </c:tx>
          <c:spPr>
            <a:solidFill>
              <a:srgbClr val="002060"/>
            </a:solidFill>
          </c:spPr>
          <c:invertIfNegative val="0"/>
          <c:cat>
            <c:strRef>
              <c:f>Quarter!$B$1:$E$2</c:f>
              <c:strCache>
                <c:ptCount val="4"/>
                <c:pt idx="0">
                  <c:v>2014-15</c:v>
                </c:pt>
                <c:pt idx="1">
                  <c:v>2015-16</c:v>
                </c:pt>
                <c:pt idx="2">
                  <c:v>2016-17</c:v>
                </c:pt>
                <c:pt idx="3">
                  <c:v>2017-18</c:v>
                </c:pt>
              </c:strCache>
            </c:strRef>
          </c:cat>
          <c:val>
            <c:numRef>
              <c:f>Quarter!$B$3:$E$3</c:f>
              <c:numCache>
                <c:formatCode>General</c:formatCode>
                <c:ptCount val="4"/>
                <c:pt idx="0">
                  <c:v>59</c:v>
                </c:pt>
                <c:pt idx="1">
                  <c:v>128</c:v>
                </c:pt>
                <c:pt idx="2">
                  <c:v>212</c:v>
                </c:pt>
                <c:pt idx="3">
                  <c:v>229</c:v>
                </c:pt>
              </c:numCache>
            </c:numRef>
          </c:val>
        </c:ser>
        <c:ser>
          <c:idx val="1"/>
          <c:order val="1"/>
          <c:tx>
            <c:strRef>
              <c:f>Quarter!$A$4</c:f>
              <c:strCache>
                <c:ptCount val="1"/>
                <c:pt idx="0">
                  <c:v>Q2</c:v>
                </c:pt>
              </c:strCache>
            </c:strRef>
          </c:tx>
          <c:spPr>
            <a:solidFill>
              <a:srgbClr val="0070C0"/>
            </a:solidFill>
          </c:spPr>
          <c:invertIfNegative val="0"/>
          <c:cat>
            <c:strRef>
              <c:f>Quarter!$B$1:$E$2</c:f>
              <c:strCache>
                <c:ptCount val="4"/>
                <c:pt idx="0">
                  <c:v>2014-15</c:v>
                </c:pt>
                <c:pt idx="1">
                  <c:v>2015-16</c:v>
                </c:pt>
                <c:pt idx="2">
                  <c:v>2016-17</c:v>
                </c:pt>
                <c:pt idx="3">
                  <c:v>2017-18</c:v>
                </c:pt>
              </c:strCache>
            </c:strRef>
          </c:cat>
          <c:val>
            <c:numRef>
              <c:f>Quarter!$B$4:$E$4</c:f>
              <c:numCache>
                <c:formatCode>General</c:formatCode>
                <c:ptCount val="4"/>
                <c:pt idx="0">
                  <c:v>58</c:v>
                </c:pt>
                <c:pt idx="1">
                  <c:v>242</c:v>
                </c:pt>
                <c:pt idx="2">
                  <c:v>198</c:v>
                </c:pt>
                <c:pt idx="3">
                  <c:v>298</c:v>
                </c:pt>
              </c:numCache>
            </c:numRef>
          </c:val>
        </c:ser>
        <c:ser>
          <c:idx val="2"/>
          <c:order val="2"/>
          <c:tx>
            <c:strRef>
              <c:f>Quarter!$A$5</c:f>
              <c:strCache>
                <c:ptCount val="1"/>
                <c:pt idx="0">
                  <c:v>Q3</c:v>
                </c:pt>
              </c:strCache>
            </c:strRef>
          </c:tx>
          <c:spPr>
            <a:solidFill>
              <a:srgbClr val="92D050"/>
            </a:solidFill>
          </c:spPr>
          <c:invertIfNegative val="0"/>
          <c:cat>
            <c:strRef>
              <c:f>Quarter!$B$1:$E$2</c:f>
              <c:strCache>
                <c:ptCount val="4"/>
                <c:pt idx="0">
                  <c:v>2014-15</c:v>
                </c:pt>
                <c:pt idx="1">
                  <c:v>2015-16</c:v>
                </c:pt>
                <c:pt idx="2">
                  <c:v>2016-17</c:v>
                </c:pt>
                <c:pt idx="3">
                  <c:v>2017-18</c:v>
                </c:pt>
              </c:strCache>
            </c:strRef>
          </c:cat>
          <c:val>
            <c:numRef>
              <c:f>Quarter!$B$5:$E$5</c:f>
              <c:numCache>
                <c:formatCode>General</c:formatCode>
                <c:ptCount val="4"/>
                <c:pt idx="0">
                  <c:v>102</c:v>
                </c:pt>
                <c:pt idx="1">
                  <c:v>313</c:v>
                </c:pt>
                <c:pt idx="2">
                  <c:v>209</c:v>
                </c:pt>
                <c:pt idx="3">
                  <c:v>428</c:v>
                </c:pt>
              </c:numCache>
            </c:numRef>
          </c:val>
        </c:ser>
        <c:ser>
          <c:idx val="3"/>
          <c:order val="3"/>
          <c:tx>
            <c:strRef>
              <c:f>Quarter!$A$6</c:f>
              <c:strCache>
                <c:ptCount val="1"/>
                <c:pt idx="0">
                  <c:v>Q4</c:v>
                </c:pt>
              </c:strCache>
            </c:strRef>
          </c:tx>
          <c:spPr>
            <a:solidFill>
              <a:srgbClr val="FFFF00"/>
            </a:solidFill>
          </c:spPr>
          <c:invertIfNegative val="0"/>
          <c:cat>
            <c:strRef>
              <c:f>Quarter!$B$1:$E$2</c:f>
              <c:strCache>
                <c:ptCount val="4"/>
                <c:pt idx="0">
                  <c:v>2014-15</c:v>
                </c:pt>
                <c:pt idx="1">
                  <c:v>2015-16</c:v>
                </c:pt>
                <c:pt idx="2">
                  <c:v>2016-17</c:v>
                </c:pt>
                <c:pt idx="3">
                  <c:v>2017-18</c:v>
                </c:pt>
              </c:strCache>
            </c:strRef>
          </c:cat>
          <c:val>
            <c:numRef>
              <c:f>Quarter!$B$6:$E$6</c:f>
              <c:numCache>
                <c:formatCode>General</c:formatCode>
                <c:ptCount val="4"/>
                <c:pt idx="0">
                  <c:v>117</c:v>
                </c:pt>
                <c:pt idx="1">
                  <c:v>194</c:v>
                </c:pt>
                <c:pt idx="2">
                  <c:v>212</c:v>
                </c:pt>
                <c:pt idx="3">
                  <c:v>0</c:v>
                </c:pt>
              </c:numCache>
            </c:numRef>
          </c:val>
        </c:ser>
        <c:dLbls>
          <c:showLegendKey val="0"/>
          <c:showVal val="0"/>
          <c:showCatName val="0"/>
          <c:showSerName val="0"/>
          <c:showPercent val="0"/>
          <c:showBubbleSize val="0"/>
        </c:dLbls>
        <c:gapWidth val="150"/>
        <c:axId val="330020736"/>
        <c:axId val="330022272"/>
      </c:barChart>
      <c:catAx>
        <c:axId val="330020736"/>
        <c:scaling>
          <c:orientation val="minMax"/>
        </c:scaling>
        <c:delete val="0"/>
        <c:axPos val="b"/>
        <c:majorTickMark val="out"/>
        <c:minorTickMark val="none"/>
        <c:tickLblPos val="nextTo"/>
        <c:crossAx val="330022272"/>
        <c:crosses val="autoZero"/>
        <c:auto val="1"/>
        <c:lblAlgn val="ctr"/>
        <c:lblOffset val="100"/>
        <c:noMultiLvlLbl val="0"/>
      </c:catAx>
      <c:valAx>
        <c:axId val="330022272"/>
        <c:scaling>
          <c:orientation val="minMax"/>
        </c:scaling>
        <c:delete val="0"/>
        <c:axPos val="l"/>
        <c:numFmt formatCode="General" sourceLinked="1"/>
        <c:majorTickMark val="out"/>
        <c:minorTickMark val="none"/>
        <c:tickLblPos val="nextTo"/>
        <c:crossAx val="3300207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200"/>
              <a:t>Total value</a:t>
            </a:r>
            <a:r>
              <a:rPr lang="en-GB" sz="1200" baseline="0"/>
              <a:t> of grants distributed </a:t>
            </a:r>
            <a:br>
              <a:rPr lang="en-GB" sz="1200" baseline="0"/>
            </a:br>
            <a:r>
              <a:rPr lang="en-GB" sz="1200" baseline="0"/>
              <a:t>Q1 2014 - Q3 2017</a:t>
            </a:r>
            <a:endParaRPr lang="en-GB" sz="1200"/>
          </a:p>
        </c:rich>
      </c:tx>
      <c:layout>
        <c:manualLayout>
          <c:xMode val="edge"/>
          <c:yMode val="edge"/>
          <c:x val="0.11172222222222222"/>
          <c:y val="2.7777777777777776E-2"/>
        </c:manualLayout>
      </c:layout>
      <c:overlay val="0"/>
    </c:title>
    <c:autoTitleDeleted val="0"/>
    <c:plotArea>
      <c:layout/>
      <c:barChart>
        <c:barDir val="col"/>
        <c:grouping val="stacked"/>
        <c:varyColors val="0"/>
        <c:ser>
          <c:idx val="0"/>
          <c:order val="0"/>
          <c:tx>
            <c:strRef>
              <c:f>Quarter!$A$11</c:f>
              <c:strCache>
                <c:ptCount val="1"/>
                <c:pt idx="0">
                  <c:v>Q1</c:v>
                </c:pt>
              </c:strCache>
            </c:strRef>
          </c:tx>
          <c:spPr>
            <a:solidFill>
              <a:srgbClr val="002060"/>
            </a:solidFill>
          </c:spPr>
          <c:invertIfNegative val="0"/>
          <c:cat>
            <c:strRef>
              <c:f>Quarter!$B$9:$E$10</c:f>
              <c:strCache>
                <c:ptCount val="4"/>
                <c:pt idx="0">
                  <c:v>2014-15</c:v>
                </c:pt>
                <c:pt idx="1">
                  <c:v>2015-16</c:v>
                </c:pt>
                <c:pt idx="2">
                  <c:v>2016-17</c:v>
                </c:pt>
                <c:pt idx="3">
                  <c:v>2017-18</c:v>
                </c:pt>
              </c:strCache>
            </c:strRef>
          </c:cat>
          <c:val>
            <c:numRef>
              <c:f>Quarter!$B$11:$E$11</c:f>
              <c:numCache>
                <c:formatCode>General</c:formatCode>
                <c:ptCount val="4"/>
                <c:pt idx="0">
                  <c:v>3270</c:v>
                </c:pt>
                <c:pt idx="1">
                  <c:v>9221</c:v>
                </c:pt>
                <c:pt idx="2">
                  <c:v>16195.22</c:v>
                </c:pt>
                <c:pt idx="3">
                  <c:v>19638.27</c:v>
                </c:pt>
              </c:numCache>
            </c:numRef>
          </c:val>
        </c:ser>
        <c:ser>
          <c:idx val="1"/>
          <c:order val="1"/>
          <c:tx>
            <c:strRef>
              <c:f>Quarter!$A$12</c:f>
              <c:strCache>
                <c:ptCount val="1"/>
                <c:pt idx="0">
                  <c:v>Q2</c:v>
                </c:pt>
              </c:strCache>
            </c:strRef>
          </c:tx>
          <c:spPr>
            <a:solidFill>
              <a:srgbClr val="0070C0"/>
            </a:solidFill>
          </c:spPr>
          <c:invertIfNegative val="0"/>
          <c:cat>
            <c:strRef>
              <c:f>Quarter!$B$9:$E$10</c:f>
              <c:strCache>
                <c:ptCount val="4"/>
                <c:pt idx="0">
                  <c:v>2014-15</c:v>
                </c:pt>
                <c:pt idx="1">
                  <c:v>2015-16</c:v>
                </c:pt>
                <c:pt idx="2">
                  <c:v>2016-17</c:v>
                </c:pt>
                <c:pt idx="3">
                  <c:v>2017-18</c:v>
                </c:pt>
              </c:strCache>
            </c:strRef>
          </c:cat>
          <c:val>
            <c:numRef>
              <c:f>Quarter!$B$12:$E$12</c:f>
              <c:numCache>
                <c:formatCode>General</c:formatCode>
                <c:ptCount val="4"/>
                <c:pt idx="0">
                  <c:v>3590.2700000000004</c:v>
                </c:pt>
                <c:pt idx="1">
                  <c:v>16600.3</c:v>
                </c:pt>
                <c:pt idx="2">
                  <c:v>19449.23</c:v>
                </c:pt>
                <c:pt idx="3">
                  <c:v>25006.49</c:v>
                </c:pt>
              </c:numCache>
            </c:numRef>
          </c:val>
        </c:ser>
        <c:ser>
          <c:idx val="2"/>
          <c:order val="2"/>
          <c:tx>
            <c:strRef>
              <c:f>Quarter!$A$13</c:f>
              <c:strCache>
                <c:ptCount val="1"/>
                <c:pt idx="0">
                  <c:v>Q3</c:v>
                </c:pt>
              </c:strCache>
            </c:strRef>
          </c:tx>
          <c:spPr>
            <a:solidFill>
              <a:srgbClr val="92D050"/>
            </a:solidFill>
          </c:spPr>
          <c:invertIfNegative val="0"/>
          <c:cat>
            <c:strRef>
              <c:f>Quarter!$B$9:$E$10</c:f>
              <c:strCache>
                <c:ptCount val="4"/>
                <c:pt idx="0">
                  <c:v>2014-15</c:v>
                </c:pt>
                <c:pt idx="1">
                  <c:v>2015-16</c:v>
                </c:pt>
                <c:pt idx="2">
                  <c:v>2016-17</c:v>
                </c:pt>
                <c:pt idx="3">
                  <c:v>2017-18</c:v>
                </c:pt>
              </c:strCache>
            </c:strRef>
          </c:cat>
          <c:val>
            <c:numRef>
              <c:f>Quarter!$B$13:$E$13</c:f>
              <c:numCache>
                <c:formatCode>General</c:formatCode>
                <c:ptCount val="4"/>
                <c:pt idx="0">
                  <c:v>5170</c:v>
                </c:pt>
                <c:pt idx="1">
                  <c:v>20825.75</c:v>
                </c:pt>
                <c:pt idx="2">
                  <c:v>18355.480000000003</c:v>
                </c:pt>
                <c:pt idx="3">
                  <c:v>37889.590000000004</c:v>
                </c:pt>
              </c:numCache>
            </c:numRef>
          </c:val>
        </c:ser>
        <c:ser>
          <c:idx val="3"/>
          <c:order val="3"/>
          <c:tx>
            <c:strRef>
              <c:f>Quarter!$A$14</c:f>
              <c:strCache>
                <c:ptCount val="1"/>
                <c:pt idx="0">
                  <c:v>Q4</c:v>
                </c:pt>
              </c:strCache>
            </c:strRef>
          </c:tx>
          <c:spPr>
            <a:solidFill>
              <a:srgbClr val="FFFF00"/>
            </a:solidFill>
          </c:spPr>
          <c:invertIfNegative val="0"/>
          <c:cat>
            <c:strRef>
              <c:f>Quarter!$B$9:$E$10</c:f>
              <c:strCache>
                <c:ptCount val="4"/>
                <c:pt idx="0">
                  <c:v>2014-15</c:v>
                </c:pt>
                <c:pt idx="1">
                  <c:v>2015-16</c:v>
                </c:pt>
                <c:pt idx="2">
                  <c:v>2016-17</c:v>
                </c:pt>
                <c:pt idx="3">
                  <c:v>2017-18</c:v>
                </c:pt>
              </c:strCache>
            </c:strRef>
          </c:cat>
          <c:val>
            <c:numRef>
              <c:f>Quarter!$B$14:$E$14</c:f>
              <c:numCache>
                <c:formatCode>General</c:formatCode>
                <c:ptCount val="4"/>
                <c:pt idx="0">
                  <c:v>6125</c:v>
                </c:pt>
                <c:pt idx="1">
                  <c:v>12014.869999999999</c:v>
                </c:pt>
                <c:pt idx="2">
                  <c:v>18188.63</c:v>
                </c:pt>
                <c:pt idx="3">
                  <c:v>0</c:v>
                </c:pt>
              </c:numCache>
            </c:numRef>
          </c:val>
        </c:ser>
        <c:dLbls>
          <c:showLegendKey val="0"/>
          <c:showVal val="0"/>
          <c:showCatName val="0"/>
          <c:showSerName val="0"/>
          <c:showPercent val="0"/>
          <c:showBubbleSize val="0"/>
        </c:dLbls>
        <c:gapWidth val="150"/>
        <c:overlap val="100"/>
        <c:axId val="389927680"/>
        <c:axId val="389929216"/>
      </c:barChart>
      <c:catAx>
        <c:axId val="389927680"/>
        <c:scaling>
          <c:orientation val="minMax"/>
        </c:scaling>
        <c:delete val="0"/>
        <c:axPos val="b"/>
        <c:majorTickMark val="out"/>
        <c:minorTickMark val="none"/>
        <c:tickLblPos val="nextTo"/>
        <c:crossAx val="389929216"/>
        <c:crosses val="autoZero"/>
        <c:auto val="1"/>
        <c:lblAlgn val="ctr"/>
        <c:lblOffset val="100"/>
        <c:noMultiLvlLbl val="0"/>
      </c:catAx>
      <c:valAx>
        <c:axId val="389929216"/>
        <c:scaling>
          <c:orientation val="minMax"/>
        </c:scaling>
        <c:delete val="0"/>
        <c:axPos val="l"/>
        <c:numFmt formatCode="&quot;£&quot;#,##0" sourceLinked="0"/>
        <c:majorTickMark val="out"/>
        <c:minorTickMark val="none"/>
        <c:tickLblPos val="nextTo"/>
        <c:crossAx val="3899276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Sheet1!$N$16</c:f>
              <c:strCache>
                <c:ptCount val="1"/>
                <c:pt idx="0">
                  <c:v>Yet to claim asylum</c:v>
                </c:pt>
              </c:strCache>
            </c:strRef>
          </c:tx>
          <c:invertIfNegative val="0"/>
          <c:cat>
            <c:strRef>
              <c:f>Sheet1!$M$17:$M$19</c:f>
              <c:strCache>
                <c:ptCount val="3"/>
                <c:pt idx="0">
                  <c:v>2015-16</c:v>
                </c:pt>
                <c:pt idx="1">
                  <c:v>2016-17</c:v>
                </c:pt>
                <c:pt idx="2">
                  <c:v>Q1 - Q3 2017</c:v>
                </c:pt>
              </c:strCache>
            </c:strRef>
          </c:cat>
          <c:val>
            <c:numRef>
              <c:f>Sheet1!$N$17:$N$19</c:f>
              <c:numCache>
                <c:formatCode>General</c:formatCode>
                <c:ptCount val="3"/>
                <c:pt idx="0">
                  <c:v>72</c:v>
                </c:pt>
                <c:pt idx="1">
                  <c:v>54</c:v>
                </c:pt>
                <c:pt idx="2">
                  <c:v>45</c:v>
                </c:pt>
              </c:numCache>
            </c:numRef>
          </c:val>
        </c:ser>
        <c:ser>
          <c:idx val="1"/>
          <c:order val="1"/>
          <c:tx>
            <c:strRef>
              <c:f>Sheet1!$O$16</c:f>
              <c:strCache>
                <c:ptCount val="1"/>
                <c:pt idx="0">
                  <c:v>Awaiting initial decision</c:v>
                </c:pt>
              </c:strCache>
            </c:strRef>
          </c:tx>
          <c:invertIfNegative val="0"/>
          <c:cat>
            <c:strRef>
              <c:f>Sheet1!$M$17:$M$19</c:f>
              <c:strCache>
                <c:ptCount val="3"/>
                <c:pt idx="0">
                  <c:v>2015-16</c:v>
                </c:pt>
                <c:pt idx="1">
                  <c:v>2016-17</c:v>
                </c:pt>
                <c:pt idx="2">
                  <c:v>Q1 - Q3 2017</c:v>
                </c:pt>
              </c:strCache>
            </c:strRef>
          </c:cat>
          <c:val>
            <c:numRef>
              <c:f>Sheet1!$O$17:$O$19</c:f>
              <c:numCache>
                <c:formatCode>General</c:formatCode>
                <c:ptCount val="3"/>
                <c:pt idx="0">
                  <c:v>168</c:v>
                </c:pt>
                <c:pt idx="1">
                  <c:v>81</c:v>
                </c:pt>
                <c:pt idx="2">
                  <c:v>59</c:v>
                </c:pt>
              </c:numCache>
            </c:numRef>
          </c:val>
        </c:ser>
        <c:ser>
          <c:idx val="2"/>
          <c:order val="2"/>
          <c:tx>
            <c:strRef>
              <c:f>Sheet1!$P$16</c:f>
              <c:strCache>
                <c:ptCount val="1"/>
                <c:pt idx="0">
                  <c:v>Appealing decision</c:v>
                </c:pt>
              </c:strCache>
            </c:strRef>
          </c:tx>
          <c:invertIfNegative val="0"/>
          <c:cat>
            <c:strRef>
              <c:f>Sheet1!$M$17:$M$19</c:f>
              <c:strCache>
                <c:ptCount val="3"/>
                <c:pt idx="0">
                  <c:v>2015-16</c:v>
                </c:pt>
                <c:pt idx="1">
                  <c:v>2016-17</c:v>
                </c:pt>
                <c:pt idx="2">
                  <c:v>Q1 - Q3 2017</c:v>
                </c:pt>
              </c:strCache>
            </c:strRef>
          </c:cat>
          <c:val>
            <c:numRef>
              <c:f>Sheet1!$P$17:$P$19</c:f>
              <c:numCache>
                <c:formatCode>General</c:formatCode>
                <c:ptCount val="3"/>
                <c:pt idx="0">
                  <c:v>39</c:v>
                </c:pt>
                <c:pt idx="1">
                  <c:v>26</c:v>
                </c:pt>
                <c:pt idx="2">
                  <c:v>34</c:v>
                </c:pt>
              </c:numCache>
            </c:numRef>
          </c:val>
        </c:ser>
        <c:ser>
          <c:idx val="3"/>
          <c:order val="3"/>
          <c:tx>
            <c:strRef>
              <c:f>Sheet1!$Q$16</c:f>
              <c:strCache>
                <c:ptCount val="1"/>
                <c:pt idx="0">
                  <c:v>Statuatory review</c:v>
                </c:pt>
              </c:strCache>
            </c:strRef>
          </c:tx>
          <c:invertIfNegative val="0"/>
          <c:cat>
            <c:strRef>
              <c:f>Sheet1!$M$17:$M$19</c:f>
              <c:strCache>
                <c:ptCount val="3"/>
                <c:pt idx="0">
                  <c:v>2015-16</c:v>
                </c:pt>
                <c:pt idx="1">
                  <c:v>2016-17</c:v>
                </c:pt>
                <c:pt idx="2">
                  <c:v>Q1 - Q3 2017</c:v>
                </c:pt>
              </c:strCache>
            </c:strRef>
          </c:cat>
          <c:val>
            <c:numRef>
              <c:f>Sheet1!$Q$17:$Q$19</c:f>
              <c:numCache>
                <c:formatCode>General</c:formatCode>
                <c:ptCount val="3"/>
                <c:pt idx="0">
                  <c:v>36</c:v>
                </c:pt>
                <c:pt idx="1">
                  <c:v>6</c:v>
                </c:pt>
                <c:pt idx="2">
                  <c:v>3</c:v>
                </c:pt>
              </c:numCache>
            </c:numRef>
          </c:val>
        </c:ser>
        <c:ser>
          <c:idx val="4"/>
          <c:order val="4"/>
          <c:tx>
            <c:strRef>
              <c:f>Sheet1!$R$16</c:f>
              <c:strCache>
                <c:ptCount val="1"/>
                <c:pt idx="0">
                  <c:v>Judicial Review </c:v>
                </c:pt>
              </c:strCache>
            </c:strRef>
          </c:tx>
          <c:invertIfNegative val="0"/>
          <c:cat>
            <c:strRef>
              <c:f>Sheet1!$M$17:$M$19</c:f>
              <c:strCache>
                <c:ptCount val="3"/>
                <c:pt idx="0">
                  <c:v>2015-16</c:v>
                </c:pt>
                <c:pt idx="1">
                  <c:v>2016-17</c:v>
                </c:pt>
                <c:pt idx="2">
                  <c:v>Q1 - Q3 2017</c:v>
                </c:pt>
              </c:strCache>
            </c:strRef>
          </c:cat>
          <c:val>
            <c:numRef>
              <c:f>Sheet1!$R$17:$R$19</c:f>
              <c:numCache>
                <c:formatCode>General</c:formatCode>
                <c:ptCount val="3"/>
                <c:pt idx="1">
                  <c:v>13</c:v>
                </c:pt>
                <c:pt idx="2">
                  <c:v>11</c:v>
                </c:pt>
              </c:numCache>
            </c:numRef>
          </c:val>
        </c:ser>
        <c:ser>
          <c:idx val="5"/>
          <c:order val="5"/>
          <c:tx>
            <c:strRef>
              <c:f>Sheet1!$S$16</c:f>
              <c:strCache>
                <c:ptCount val="1"/>
                <c:pt idx="0">
                  <c:v>Out of time appeal</c:v>
                </c:pt>
              </c:strCache>
            </c:strRef>
          </c:tx>
          <c:invertIfNegative val="0"/>
          <c:cat>
            <c:strRef>
              <c:f>Sheet1!$M$17:$M$19</c:f>
              <c:strCache>
                <c:ptCount val="3"/>
                <c:pt idx="0">
                  <c:v>2015-16</c:v>
                </c:pt>
                <c:pt idx="1">
                  <c:v>2016-17</c:v>
                </c:pt>
                <c:pt idx="2">
                  <c:v>Q1 - Q3 2017</c:v>
                </c:pt>
              </c:strCache>
            </c:strRef>
          </c:cat>
          <c:val>
            <c:numRef>
              <c:f>Sheet1!$S$17:$S$19</c:f>
              <c:numCache>
                <c:formatCode>General</c:formatCode>
                <c:ptCount val="3"/>
                <c:pt idx="0">
                  <c:v>3</c:v>
                </c:pt>
                <c:pt idx="1">
                  <c:v>0</c:v>
                </c:pt>
                <c:pt idx="2">
                  <c:v>3</c:v>
                </c:pt>
              </c:numCache>
            </c:numRef>
          </c:val>
        </c:ser>
        <c:ser>
          <c:idx val="6"/>
          <c:order val="6"/>
          <c:tx>
            <c:strRef>
              <c:f>Sheet1!$T$16</c:f>
              <c:strCache>
                <c:ptCount val="1"/>
                <c:pt idx="0">
                  <c:v>Fresh claim/further submission</c:v>
                </c:pt>
              </c:strCache>
            </c:strRef>
          </c:tx>
          <c:invertIfNegative val="0"/>
          <c:cat>
            <c:strRef>
              <c:f>Sheet1!$M$17:$M$19</c:f>
              <c:strCache>
                <c:ptCount val="3"/>
                <c:pt idx="0">
                  <c:v>2015-16</c:v>
                </c:pt>
                <c:pt idx="1">
                  <c:v>2016-17</c:v>
                </c:pt>
                <c:pt idx="2">
                  <c:v>Q1 - Q3 2017</c:v>
                </c:pt>
              </c:strCache>
            </c:strRef>
          </c:cat>
          <c:val>
            <c:numRef>
              <c:f>Sheet1!$T$17:$T$19</c:f>
              <c:numCache>
                <c:formatCode>General</c:formatCode>
                <c:ptCount val="3"/>
                <c:pt idx="0">
                  <c:v>179</c:v>
                </c:pt>
                <c:pt idx="1">
                  <c:v>342</c:v>
                </c:pt>
                <c:pt idx="2">
                  <c:v>499</c:v>
                </c:pt>
              </c:numCache>
            </c:numRef>
          </c:val>
        </c:ser>
        <c:ser>
          <c:idx val="7"/>
          <c:order val="7"/>
          <c:tx>
            <c:strRef>
              <c:f>Sheet1!$U$16</c:f>
              <c:strCache>
                <c:ptCount val="1"/>
                <c:pt idx="0">
                  <c:v>Appeal rights exhausted</c:v>
                </c:pt>
              </c:strCache>
            </c:strRef>
          </c:tx>
          <c:invertIfNegative val="0"/>
          <c:cat>
            <c:strRef>
              <c:f>Sheet1!$M$17:$M$19</c:f>
              <c:strCache>
                <c:ptCount val="3"/>
                <c:pt idx="0">
                  <c:v>2015-16</c:v>
                </c:pt>
                <c:pt idx="1">
                  <c:v>2016-17</c:v>
                </c:pt>
                <c:pt idx="2">
                  <c:v>Q1 - Q3 2017</c:v>
                </c:pt>
              </c:strCache>
            </c:strRef>
          </c:cat>
          <c:val>
            <c:numRef>
              <c:f>Sheet1!$U$17:$U$19</c:f>
              <c:numCache>
                <c:formatCode>General</c:formatCode>
                <c:ptCount val="3"/>
                <c:pt idx="0">
                  <c:v>57</c:v>
                </c:pt>
                <c:pt idx="1">
                  <c:v>102</c:v>
                </c:pt>
                <c:pt idx="2">
                  <c:v>160</c:v>
                </c:pt>
              </c:numCache>
            </c:numRef>
          </c:val>
        </c:ser>
        <c:ser>
          <c:idx val="8"/>
          <c:order val="8"/>
          <c:tx>
            <c:strRef>
              <c:f>Sheet1!$V$16</c:f>
              <c:strCache>
                <c:ptCount val="1"/>
                <c:pt idx="0">
                  <c:v>Refugee or leave to remain</c:v>
                </c:pt>
              </c:strCache>
            </c:strRef>
          </c:tx>
          <c:invertIfNegative val="0"/>
          <c:cat>
            <c:strRef>
              <c:f>Sheet1!$M$17:$M$19</c:f>
              <c:strCache>
                <c:ptCount val="3"/>
                <c:pt idx="0">
                  <c:v>2015-16</c:v>
                </c:pt>
                <c:pt idx="1">
                  <c:v>2016-17</c:v>
                </c:pt>
                <c:pt idx="2">
                  <c:v>Q1 - Q3 2017</c:v>
                </c:pt>
              </c:strCache>
            </c:strRef>
          </c:cat>
          <c:val>
            <c:numRef>
              <c:f>Sheet1!$V$17:$V$19</c:f>
              <c:numCache>
                <c:formatCode>General</c:formatCode>
                <c:ptCount val="3"/>
                <c:pt idx="0">
                  <c:v>282</c:v>
                </c:pt>
                <c:pt idx="1">
                  <c:v>86</c:v>
                </c:pt>
                <c:pt idx="2">
                  <c:v>62</c:v>
                </c:pt>
              </c:numCache>
            </c:numRef>
          </c:val>
        </c:ser>
        <c:ser>
          <c:idx val="9"/>
          <c:order val="9"/>
          <c:tx>
            <c:strRef>
              <c:f>Sheet1!$W$16</c:f>
              <c:strCache>
                <c:ptCount val="1"/>
                <c:pt idx="0">
                  <c:v>Other</c:v>
                </c:pt>
              </c:strCache>
            </c:strRef>
          </c:tx>
          <c:invertIfNegative val="0"/>
          <c:cat>
            <c:strRef>
              <c:f>Sheet1!$M$17:$M$19</c:f>
              <c:strCache>
                <c:ptCount val="3"/>
                <c:pt idx="0">
                  <c:v>2015-16</c:v>
                </c:pt>
                <c:pt idx="1">
                  <c:v>2016-17</c:v>
                </c:pt>
                <c:pt idx="2">
                  <c:v>Q1 - Q3 2017</c:v>
                </c:pt>
              </c:strCache>
            </c:strRef>
          </c:cat>
          <c:val>
            <c:numRef>
              <c:f>Sheet1!$W$17:$W$19</c:f>
              <c:numCache>
                <c:formatCode>General</c:formatCode>
                <c:ptCount val="3"/>
                <c:pt idx="0">
                  <c:v>41</c:v>
                </c:pt>
                <c:pt idx="1">
                  <c:v>113</c:v>
                </c:pt>
                <c:pt idx="2">
                  <c:v>56</c:v>
                </c:pt>
              </c:numCache>
            </c:numRef>
          </c:val>
        </c:ser>
        <c:dLbls>
          <c:showLegendKey val="0"/>
          <c:showVal val="0"/>
          <c:showCatName val="0"/>
          <c:showSerName val="0"/>
          <c:showPercent val="0"/>
          <c:showBubbleSize val="0"/>
        </c:dLbls>
        <c:gapWidth val="150"/>
        <c:overlap val="100"/>
        <c:axId val="393497984"/>
        <c:axId val="393542272"/>
      </c:barChart>
      <c:catAx>
        <c:axId val="393497984"/>
        <c:scaling>
          <c:orientation val="minMax"/>
        </c:scaling>
        <c:delete val="0"/>
        <c:axPos val="l"/>
        <c:majorTickMark val="out"/>
        <c:minorTickMark val="none"/>
        <c:tickLblPos val="nextTo"/>
        <c:txPr>
          <a:bodyPr/>
          <a:lstStyle/>
          <a:p>
            <a:pPr>
              <a:defRPr sz="800"/>
            </a:pPr>
            <a:endParaRPr lang="en-US"/>
          </a:p>
        </c:txPr>
        <c:crossAx val="393542272"/>
        <c:crosses val="autoZero"/>
        <c:auto val="1"/>
        <c:lblAlgn val="ctr"/>
        <c:lblOffset val="100"/>
        <c:noMultiLvlLbl val="0"/>
      </c:catAx>
      <c:valAx>
        <c:axId val="393542272"/>
        <c:scaling>
          <c:orientation val="minMax"/>
        </c:scaling>
        <c:delete val="0"/>
        <c:axPos val="b"/>
        <c:majorGridlines/>
        <c:numFmt formatCode="0%" sourceLinked="1"/>
        <c:majorTickMark val="out"/>
        <c:minorTickMark val="none"/>
        <c:tickLblPos val="nextTo"/>
        <c:crossAx val="39349798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Rix</dc:creator>
  <cp:lastModifiedBy>Diana Rix</cp:lastModifiedBy>
  <cp:revision>2</cp:revision>
  <dcterms:created xsi:type="dcterms:W3CDTF">2018-01-25T17:04:00Z</dcterms:created>
  <dcterms:modified xsi:type="dcterms:W3CDTF">2018-01-25T17:04:00Z</dcterms:modified>
</cp:coreProperties>
</file>